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5-23-10/2024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Донецкая адрес, 9, квартира 43, фактически проживающий по адресу: адрес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«Вортекс» модель «Эстина» государственный регистрационный знак О801ВА180, при наличии признаков опьянения (запах алкоголя из полости рта,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дата фио в судебное заседание не явился, о дате, времени и месте проведения судебного заседания, извещен судом надлежащим образом. </w:t>
      </w:r>
    </w:p>
    <w:p w:rsidR="00A77B3E">
      <w:r>
        <w:t>фио получена телефонограмма дата в время</w:t>
      </w:r>
    </w:p>
    <w:p w:rsidR="00A77B3E">
      <w:r>
        <w:t>На основании изложенного выше, суд не усматривает препятствий для рассмотрения дела об административной правонарушении в отсутствие неявившегося лица.</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82АП№213645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без замечаний, с протоколом согласен;</w:t>
      </w:r>
    </w:p>
    <w:p w:rsidR="00A77B3E">
      <w:r>
        <w:t xml:space="preserve"> </w:t>
        <w:tab/>
        <w:t xml:space="preserve">- протоколом 82ОТ№057110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«Вортекс» модель «Эстина» государственный регистрационный знак О801ВА180,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82МО№010512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нарушение речи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 полости рта, нарушение речи,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УИН:18810491231500003728.</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