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5-23-38/2019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директора наименование организации фио, паспортные данные, ст-Луганского р-на, адрес; зарегистрированного и проживающего по адресу: адрес, адрес; ранее не привлекавшийся к административной ответственности, </w:t>
      </w:r>
    </w:p>
    <w:p w:rsidR="00A77B3E">
      <w:r>
        <w:t xml:space="preserve">                                                                          установил:                </w:t>
      </w:r>
    </w:p>
    <w:p w:rsidR="00A77B3E"/>
    <w:p w:rsidR="00A77B3E">
      <w:r>
        <w:t xml:space="preserve">        фио, занимая должность директора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на 1 застрахованное лицо.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Суд предпринял меры по  его извещению: в адрес правовой регистрации по месту жительства, по месту нахождения юридического лица по почте заказным письмом с уведомлением были направлены  судебные повестки, которые не были получены фио  и  возвращены в адрес суда в связи с истекшим сроком хранения.               </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(исходная) за дата были представлены дата на 1 застрахованное лицо, то есть с нарушением установленного законом срока.</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000312 от дата; выпиской из Единого государственного реестра юридический лиц в отношении наименование организации; протоколом проверки; извещением о доставке; уведомлениями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