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5-23-44/2020                                                   </w:t>
      </w:r>
    </w:p>
    <w:p w:rsidR="00A77B3E"/>
    <w:p w:rsidR="00A77B3E"/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ab/>
        <w:t xml:space="preserve">               адрес                                          </w:t>
      </w:r>
    </w:p>
    <w:p w:rsidR="00A77B3E"/>
    <w:p w:rsidR="00A77B3E">
      <w:r>
        <w:t>Мировой судья судебного участка № 23 Алуштинского судебного района (г.адрес) адрес фио 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рассмотрев протокол об административном правонарушении в отношении директора наименование организации (адрес РЕСПУБЛИКА, адрес, ОГРН: 1149102109683, Дата присвоения ОГРН: дата, ИНН: телефон, КПП: 910101001)  фио паспортные данные, зарегистрирован по адресу: адрес. квартира 1,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>дата по адресу: адрес, директор наименование организации фио совершил административное правонарушение, выразившееся в  несвоевременном 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Так, срок предоставления бухгалтерской (финансовой) отчетности за дата должна быть представлена не позднее дата, однако фактически была представлена дата, а значит с пропуском срока, установленного действующим законодательством.</w:t>
      </w:r>
    </w:p>
    <w:p w:rsidR="00A77B3E">
      <w:r>
        <w:t>дата в судебном заседании фио вину в совершенном правонарушении признал, с обстоятельствами, изложенными в протоколе согласился.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РЕСПУБЛИКА, адрес, ОГРН: 1149102109683, Дата присвоения ОГРН: дата, ИНН: телефон, КПП: 910101001)  фио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 УФК по адрес (Министерство юстиции адрес, л/с 04752203230) ИНН: телефон, КПП: телефон, Банк получателя: Отделение по адрес Южного главного управления ЦБРФ, БИК: телефон Счет: 40101810335100010001, КБК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