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5-23-68/2023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с участием лица, в отношении которого ведется производство по делу об административном правонарушении – генерального директора наименование организации (адрес РЕСПУБЛИКА адрес, ОГРН: 1159102006766, Дата присвоения ОГРН: дата, ИНН: телефон, КПП: 910101001) фио, паспортные данные, зарегистрированной по адресу: адрес, квартира, 22 о совершении административного правонарушения, предусмотренного ст. 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Так, дата фио являясь директором наименование организации, по адресу: адрес, представила в налоговый орган налоговую декларацию по налогу, уплачиваемому в связи с применением упрощенной системы налогообложения за дата, предельный срок предоставления которой истек дата.  </w:t>
      </w:r>
    </w:p>
    <w:p w:rsidR="00A77B3E">
      <w:r>
        <w:t xml:space="preserve">Таким образом, налоговая декларация по налогу, уплачиваемому в связи с применением упрощенной системы налогообложения за дата, представлена фио с пропуском установленного законом срока,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судебном заседании вину в совершении вмененного ей административного правонарушения признала.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Генеральному директору наименование организации   фио,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