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5-23-93/2023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 РФ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№18810082220000976149 от дата  фио,  был привлечен к административной ответственности по ч.2 статьи 12.37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участия в судебном заседании не принимал, о дате, времени и месте рассмотрения протокола об административном правонарушении судом извещался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№179441 от дата,  заверенной копией постановления №18810082220000976149 от дата, которым  фио,  был привлечен к административной ответственности по ч.2 статьи 12.37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0410760300235000932320184.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