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5-23-116/2026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 республиканского значения Алушта с подчиненной ему территорией)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наименование организации (адрес, ОГРН: 1189112033285, Дата присвоения ОГРН: дата, ИНН: телефон, КПП: телефон, ГЕНЕРАЛЬНЫЙ ДИРЕКТОР: фио),   </w:t>
      </w:r>
    </w:p>
    <w:p w:rsidR="00A77B3E">
      <w:r>
        <w:t>УСТАНОВИЛ:</w:t>
      </w:r>
    </w:p>
    <w:p w:rsidR="00A77B3E">
      <w:r>
        <w:t xml:space="preserve">Постановлением №БЛ25000031 от дата  наименование организации,  было привлечено к административной ответственности по статье 5.12 Закона адрес «Об административных правонарушениях»,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оплатило, то есть совершило административное правонарушение, предусмотренное ст. 20.25 ч.1 КоАП РФ. </w:t>
      </w:r>
    </w:p>
    <w:p w:rsidR="00A77B3E">
      <w:r>
        <w:t>Представитель общества в судебном заседании участия не принимал, о причинах неявки суд не известил. Вместе с тем, о дате, времени и месте рассмотрения дела был извещен судом заблаговременно и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наименование организации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№ПП 000006/2026 от дата,  заверенной копией постановления №БЛ25000031 от дата, которым  наименование организации,  было привлечено к административной ответственности по статье 5.12 Закона адрес «Об административных правонарушениях», ему назначено административное наказание в виде административного штрафа в сумме сумма, данными об отсутствии информации об оплате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наименование организации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наименование организации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наименование организации (адрес, ОГРН: 1189112033285, Дата присвоения ОГРН: дата, ИНН: телефон, КПП: телефон, ГЕНЕРАЛЬНЫЙ ДИРЕКТОР: фио)виновным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0410760300235001162620160.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