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5-23-154/2021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</w:t>
      </w:r>
      <w:r>
        <w:t>рес</w:t>
      </w:r>
      <w:r>
        <w:t xml:space="preserve">) адрес </w:t>
      </w:r>
      <w:r>
        <w:t>фио</w:t>
      </w:r>
      <w:r>
        <w:t>, рассмотрев материал в отношении председателя правления ТСН «</w:t>
      </w:r>
      <w:r>
        <w:t xml:space="preserve">» </w:t>
      </w:r>
      <w:r>
        <w:t>фио</w:t>
      </w:r>
      <w:r>
        <w:t xml:space="preserve">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</w:t>
      </w:r>
      <w:r>
        <w:t xml:space="preserve"> </w:t>
      </w:r>
      <w:r>
        <w:t>фио</w:t>
      </w:r>
      <w:r>
        <w:t xml:space="preserve"> по адресу: адрес, ж. 16-И,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  <w:r>
        <w:t xml:space="preserve"> Следовательно, совершила административное правонарушение, предусмотренн</w:t>
      </w:r>
      <w:r>
        <w:t>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</w:t>
      </w:r>
      <w:r>
        <w:t>извещёна</w:t>
      </w:r>
      <w:r>
        <w:t xml:space="preserve"> надлежащим образом. В соответствии с ч. 2 ст. 25.1 КоАП РФ дело об административном правонарушении может быть рассмотрено в отсутствии лиц</w:t>
      </w:r>
      <w:r>
        <w:t xml:space="preserve">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</w:t>
      </w:r>
      <w:r>
        <w:t xml:space="preserve">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</w:t>
      </w:r>
      <w:r>
        <w:t xml:space="preserve">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</w:t>
      </w:r>
      <w:r>
        <w:t>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</w:t>
      </w:r>
      <w:r>
        <w:t xml:space="preserve">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</w:t>
      </w:r>
      <w:r>
        <w:t xml:space="preserve">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</w:t>
      </w:r>
      <w:r>
        <w:t>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</w:t>
      </w:r>
      <w:r>
        <w:t xml:space="preserve">»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</w:t>
      </w:r>
      <w:r>
        <w:t>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</w:t>
      </w:r>
      <w:r>
        <w:t xml:space="preserve">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</w:t>
      </w:r>
      <w:r>
        <w:t>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</w:t>
      </w:r>
      <w:r>
        <w:t xml:space="preserve">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</w:t>
      </w:r>
      <w:r>
        <w:t xml:space="preserve">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0E"/>
    <w:rsid w:val="00A77B3E"/>
    <w:rsid w:val="00EA7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