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5-23-158/2020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адрес</w:t>
      </w:r>
    </w:p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зарегистрирован по адресу: адрес, официально не трудоустроен, ранее к административной ответственности не привлекался   ранее к административной ответственности не привлекался, 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>
      <w:r>
        <w:t>установил:</w:t>
      </w:r>
    </w:p>
    <w:p w:rsidR="00A77B3E">
      <w:r>
        <w:t>дата в время во внутренних морских водах Российской Федерации Черного моря, в районе пирса центральной набережной адрес, в районе дома №27 по адрес 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осуществлял любительское и спортивное рыболовство с использованием запрещенного орудия добычи (вылова) сетчатое полотно. Нарушил п. 54.1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 xml:space="preserve">фиов судебном заседании вину признал. Заявлений и ходатайств не имеет.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орудия вылова водных биологических ресурсов – сетчатое полотно диаметром 140 см, с металлическим стержнем длинной 130 см. изъятая протоколом изъятия вещей от дата.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штрафов: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КБК телефон телефон, УИН 18900985560200001991.</w:t>
      </w:r>
    </w:p>
    <w:p w:rsidR="00A77B3E">
      <w:r>
        <w:t>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