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5-23-163/2019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И.адрес судьи 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ранее не привлекавшийся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(далее –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на 7 застрахованных лиц; дата после предельного срока предоставления отчетности за дата были представлены сведения  по форме СЗВ-М (дополняющая) на застрахованное лицо, сведения на которое ранее  не представлялись,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её извещению: в адрес правовой регистрации по месту жительства, и по адресу регистрации юридического лица по почте заказным письмом с уведомлением были направлены  судебные повестки, также судебная повестка направлена на электронный адрес юридического лица.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на 7 застрахованных лиц; дата после предельного срока предоставления отчетности за дата были представлены сведения  по форме СЗВ-М (дополняющая) на застрахованное лицо, сведения на которое ранее не представлялись,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000036 от дата; выпиской из Единого государственного реестра юридический лиц в отношении наименование организации; протоколами проверки; извещениями о доставке; выпиской из журнала учета приема сведений СЗВ-М за дата;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её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