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5-23-199/2024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</w:t>
        <w:tab/>
        <w:tab/>
        <w:t xml:space="preserve">   адрес, Багликова, 21</w:t>
      </w:r>
    </w:p>
    <w:p w:rsidR="00A77B3E">
      <w:r>
        <w:t xml:space="preserve">         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- фио,</w:t>
      </w:r>
    </w:p>
    <w:p w:rsidR="00A77B3E">
      <w:r>
        <w:t>рассмотрев дело об административном правонарушении, поступившее из ОГИБДД ОМВД России по адрес, в отношении фио, 18.телефон года рождения, паспортные данные, телефон зарегистрированного по адресу: адрес, 20-я адрес,. 230, место фактического проживания: адрес, 20-я адрес, Место работы: наименование организации, начальник участка, ранее не привлекался к административной ответственности; по ч. 1 ст. 12.34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>Как усматривается из протокола об административном правонарушении серии 82АП №243307 от дата, дата в время, гр. фио, паспортные данные будучи ответственным лицом за производство работ на объекте: «Ремонт улично- дорожной сети муниципального образования городской адрес, 1-й этап в дата», проводимых на автомобильной дороге по адрес, на участке от дома №6 до дома №13 в адрес, в рамках заключенного между наименование организации и наименование организации государственного контракта №92/24-СМР от дата, допустил следующие нарушения обязательных требований:</w:t>
      </w:r>
    </w:p>
    <w:p w:rsidR="00A77B3E">
      <w:r>
        <w:t>При движении к месту производства работ со стороны адрес:</w:t>
      </w:r>
    </w:p>
    <w:p w:rsidR="00A77B3E">
      <w:r>
        <w:t>- в нарушении требований п. 6.10.1 ГОСТ Р телефон, отсутствует</w:t>
      </w:r>
    </w:p>
    <w:p w:rsidR="00A77B3E">
      <w:r>
        <w:t>информационный щит;</w:t>
      </w:r>
    </w:p>
    <w:p w:rsidR="00A77B3E">
      <w:r>
        <w:t>- в нарушении требований п. 6.2.1 ГОСТ Р телефон, п. 6.1.1.1 ГОСТ Р 58350-</w:t>
      </w:r>
    </w:p>
    <w:p w:rsidR="00A77B3E">
      <w:r>
        <w:t>2019 и соответственно п. 5.4.21 ГОСТ Р телефон, отсутствуют дорожные знаки 3.20</w:t>
      </w:r>
    </w:p>
    <w:p w:rsidR="00A77B3E">
      <w:r>
        <w:t>«Обгон запрещен» (в т.ч. дублирующий слева), предусмотренные утвержденной схемой организации дорожного движения;</w:t>
      </w:r>
    </w:p>
    <w:p w:rsidR="00A77B3E">
      <w:r>
        <w:t>- в нарушении требований п. 6.2.1 ГОСТ Р телефон, п. 6.1.1.1 ГОСТ Р 58350-</w:t>
      </w:r>
    </w:p>
    <w:p w:rsidR="00A77B3E">
      <w:r>
        <w:t>2019 и соответственно п. 5.2.22 ГОСТ Р телефон, отсутствует дорожный знак 1.20.3</w:t>
      </w:r>
    </w:p>
    <w:p w:rsidR="00A77B3E">
      <w:r>
        <w:t>«Сужение дороги слева» предусмотренный утвержденной схемой организации дорожного движения;</w:t>
      </w:r>
    </w:p>
    <w:p w:rsidR="00A77B3E">
      <w:r>
        <w:t>- в нарушении требований п. 6.2.1 ГОСТ Р телефон, п. 6.1.1.1 ГОСТ Р 58350-</w:t>
      </w:r>
    </w:p>
    <w:p w:rsidR="00A77B3E">
      <w:r>
        <w:t>2019 и соответственно п. 5.2.27, 5.9.5 ГОСТ Р телефон, отсутствуют дорожные знаки 1.25 «Дорожные работы» с табличкой 8.2.1 «Зона действия» (которые должны быть установлены непосредственно у начала участка проведения работ), предусмотренные утвержденной схемой организации дорожного движения;</w:t>
      </w:r>
    </w:p>
    <w:p w:rsidR="00A77B3E">
      <w:r>
        <w:t>- в нарушении требований п. 6.2.1 ГОСТ Р телефон, п. 6.1.1.1, 6.1.5.1 ГОСТ v</w:t>
      </w:r>
    </w:p>
    <w:p w:rsidR="00A77B3E">
      <w:r>
        <w:t>телефон и соответственно п. 5.5.5 ГОСТ Р телефон, отсутствует дорожный знак</w:t>
      </w:r>
    </w:p>
    <w:p w:rsidR="00A77B3E">
      <w:r>
        <w:t>4.2.1 «Объезд препятствия справа» предусмотренный утвержденной схемой организации дорожного движения;</w:t>
      </w:r>
    </w:p>
    <w:p w:rsidR="00A77B3E">
      <w:r>
        <w:t>- в нарушении требований п. 6.2.1 ГОСТ Р телефон, п. 6.1.1.1 ГОСТ Р 58350-</w:t>
      </w:r>
    </w:p>
    <w:p w:rsidR="00A77B3E">
      <w:r>
        <w:t>2019 и соответственно п. 5.4.26 ГОСТ Р телефон, отсутствует дорожный знак 3.31</w:t>
      </w:r>
    </w:p>
    <w:p w:rsidR="00A77B3E">
      <w:r>
        <w:t>адрес всех ограничений» предусмотренный утвержденной схемой организации дорожного движения;</w:t>
      </w:r>
    </w:p>
    <w:p w:rsidR="00A77B3E">
      <w:r>
        <w:t>При движении к месту производства работ со стороны адрес:</w:t>
      </w:r>
    </w:p>
    <w:p w:rsidR="00A77B3E">
      <w:r>
        <w:t>- в нарушении требований п. 6.10.1 ГОСТ Р телефон, отсутствует</w:t>
      </w:r>
    </w:p>
    <w:p w:rsidR="00A77B3E">
      <w:r>
        <w:t>информационный щит;</w:t>
      </w:r>
    </w:p>
    <w:p w:rsidR="00A77B3E">
      <w:r>
        <w:t>- в нарушении требований п. 6.2.1 ГОСТ Р телефон, п. 6.1.1 Л ГОСТ Р 58350-</w:t>
      </w:r>
    </w:p>
    <w:p w:rsidR="00A77B3E">
      <w:r>
        <w:t>2019 и соответственно п. 5.4.21 ГОСТ Р телефон, отсутствуют дорожные знаки 3.20</w:t>
      </w:r>
    </w:p>
    <w:p w:rsidR="00A77B3E">
      <w:r>
        <w:t>«Обгон запрещен» (в т.ч. дублирующий слева), предусмотренные утвержденной схемой</w:t>
      </w:r>
    </w:p>
    <w:p w:rsidR="00A77B3E">
      <w:r>
        <w:t>организации дорожного движения;</w:t>
      </w:r>
    </w:p>
    <w:p w:rsidR="00A77B3E">
      <w:r>
        <w:t>- в нарушении требований п. 6.2.1 ГОСТ Р телефон, п. 6.1.1 Л ГОСТ Р 58350-</w:t>
      </w:r>
    </w:p>
    <w:p w:rsidR="00A77B3E">
      <w:r>
        <w:t>2019 и соответственно п. 5.2.22 ГОСТ Р телефон, отсутствует дорожный знак 1.20.2</w:t>
      </w:r>
    </w:p>
    <w:p w:rsidR="00A77B3E">
      <w:r>
        <w:t>«Сужение дороги справа» предусмотренный утвержденной схемой организации</w:t>
      </w:r>
    </w:p>
    <w:p w:rsidR="00A77B3E">
      <w:r>
        <w:t>дорожного движения;</w:t>
      </w:r>
    </w:p>
    <w:p w:rsidR="00A77B3E">
      <w:r>
        <w:t>- в нарушении требований п. 6.2.1 ГОСТ Р телефон, п. 6.1.1.1 ГОСТ Р 58350-</w:t>
      </w:r>
    </w:p>
    <w:p w:rsidR="00A77B3E">
      <w:r>
        <w:t>2019 и соответственно п. 5.9.5 ГОСТ Р телефон, отсутствует табличка 8.2.1 «Зона</w:t>
      </w:r>
    </w:p>
    <w:p w:rsidR="00A77B3E">
      <w:r>
        <w:t>действия» (применяемая совместно с дорожным знаком 1.25 «Дорожные работы»),</w:t>
      </w:r>
    </w:p>
    <w:p w:rsidR="00A77B3E">
      <w:r>
        <w:t>предусмотренная утвержденной схемой организации дорожного движения;</w:t>
      </w:r>
    </w:p>
    <w:p w:rsidR="00A77B3E">
      <w:r>
        <w:t>- в нарушении требований п. 6.2.1 ГОСТ Р телефон, п. 6.1.1.1, 6.1.5.1 ГОСТ Р</w:t>
      </w:r>
    </w:p>
    <w:p w:rsidR="00A77B3E">
      <w:r>
        <w:t>телефон и соответственно п. 5.5.5 ГОСТ Р телефон, отсутствует дорожный знак</w:t>
      </w:r>
    </w:p>
    <w:p w:rsidR="00A77B3E">
      <w:r>
        <w:t>4.2.2 «Объезд препятствия слева» предусмотренный утвержденной схемой организации</w:t>
      </w:r>
    </w:p>
    <w:p w:rsidR="00A77B3E">
      <w:r>
        <w:t>дорожного движения;</w:t>
      </w:r>
    </w:p>
    <w:p w:rsidR="00A77B3E">
      <w:r>
        <w:t>- в нарушении требований п. 6.2.1 ГОСТ Р телефон, п. 6.1.1.1 ГОСТ Р 58350-</w:t>
      </w:r>
    </w:p>
    <w:p w:rsidR="00A77B3E">
      <w:r>
        <w:t>2019 и соответственно п. 5.4.26 ГОСТ Р телефон, отсутствует дорожный знак 3.31</w:t>
      </w:r>
    </w:p>
    <w:p w:rsidR="00A77B3E">
      <w:r>
        <w:t>адрес всех ограничений» предусмотренный утвержденной схемой организации</w:t>
      </w:r>
    </w:p>
    <w:p w:rsidR="00A77B3E">
      <w:r>
        <w:t>дорожного движения.</w:t>
      </w:r>
    </w:p>
    <w:p w:rsidR="00A77B3E">
      <w:r>
        <w:t>дата в судебном фио вину в совершении административного правонарушения признал, обстоятельств, изложенных в протоколе об административном правонарушении не оспаривал.</w:t>
      </w:r>
    </w:p>
    <w:p w:rsidR="00A77B3E">
      <w:r>
        <w:t xml:space="preserve">Дополнительно указал, что в момент выявления должностным лицом правонарушения не доставили необходимых дорожных знаков, которые позже были установлены, однако вину в совершенном правонарушении не отрицал, поскольку в соответствии с должностной инструкцией является лицом, ответственным за установку как технических средств, так и дорожных знаков на участках дорог общего пользования. </w:t>
      </w:r>
    </w:p>
    <w:p w:rsidR="00A77B3E">
      <w:r>
        <w:t xml:space="preserve">          </w:t>
        <w:tab/>
        <w:t>Исследовав представленные материалы дела, заслушав фио прихожу к следующим выводам.</w:t>
      </w:r>
    </w:p>
    <w:p w:rsidR="00A77B3E">
      <w:r>
        <w:t>В соответствии с адрес положений по допуску транспортных средств к</w:t>
      </w:r>
    </w:p>
    <w:p w:rsidR="00A77B3E">
      <w:r>
        <w:t>эксплуатации и обязанности должностных лиц по обеспечению безопасности дорожного</w:t>
      </w:r>
    </w:p>
    <w:p w:rsidR="00A77B3E">
      <w:r>
        <w:t>движения Правил дорожного движения, утвержденных постановлением Совета</w:t>
      </w:r>
    </w:p>
    <w:p w:rsidR="00A77B3E">
      <w:r>
        <w:t>Министров Правительства Российской Федерации от дата №1090,</w:t>
      </w:r>
    </w:p>
    <w:p w:rsidR="00A77B3E">
      <w:r>
        <w:t>должностные и иные лица ответственные за производство работ на дорогах, обязаны</w:t>
      </w:r>
    </w:p>
    <w:p w:rsidR="00A77B3E">
      <w:r>
        <w:t>обеспечивать безопасность движения в местах проведения работ. Эти места, а также</w:t>
      </w:r>
    </w:p>
    <w:p w:rsidR="00A77B3E">
      <w:r>
        <w:t>неработающие дорожные машины, строительные материалы, конструкции и тому</w:t>
      </w:r>
    </w:p>
    <w:p w:rsidR="00A77B3E">
      <w:r>
        <w:t>подобное, которые не могут быть убраны за пределы дороги, должны быть обозначены</w:t>
      </w:r>
    </w:p>
    <w:p w:rsidR="00A77B3E">
      <w:r>
        <w:t>соответствующими дорожными знаками, направляющими устройствами, а в темное время</w:t>
      </w:r>
    </w:p>
    <w:p w:rsidR="00A77B3E">
      <w:r>
        <w:t>суток и в условиях недостаточной видимости - дополнительно красными или желтыми</w:t>
      </w:r>
    </w:p>
    <w:p w:rsidR="00A77B3E">
      <w:r>
        <w:t>сигнальными огнями.</w:t>
      </w:r>
    </w:p>
    <w:p w:rsidR="00A77B3E">
      <w:r>
        <w:t>Исходя из требований ГОСТ Р телефон «Дороги автомобильные общего</w:t>
      </w:r>
    </w:p>
    <w:p w:rsidR="00A77B3E">
      <w:r>
        <w:t>пользования. Требования к эксплуатационному состоянию, допустимому по условиям</w:t>
      </w:r>
    </w:p>
    <w:p w:rsidR="00A77B3E">
      <w:r>
        <w:t>обеспечения безопасности дорожного движения. Методы контроля», утвержденного и</w:t>
      </w:r>
    </w:p>
    <w:p w:rsidR="00A77B3E">
      <w:r>
        <w:t>введенного в действие Приказом Федерального агентства по техническому</w:t>
      </w:r>
    </w:p>
    <w:p w:rsidR="00A77B3E">
      <w:r>
        <w:t>регулированию и метрологии от дата №1245-ст:</w:t>
      </w:r>
    </w:p>
    <w:p w:rsidR="00A77B3E">
      <w:r>
        <w:t>- п. 6.2.1 дороги и улицы должны быть обустроены дорожными знаками по ГОСТ</w:t>
      </w:r>
    </w:p>
    <w:p w:rsidR="00A77B3E">
      <w:r>
        <w:t>32945, изображения, символы и надписи, фотометрические и колометрические</w:t>
      </w:r>
    </w:p>
    <w:p w:rsidR="00A77B3E">
      <w:r>
        <w:t>характеристики которых должны соответствовать ГОСТ Р 52290, знаками переменной</w:t>
      </w:r>
    </w:p>
    <w:p w:rsidR="00A77B3E">
      <w:r>
        <w:t>информации по ГОСТ 32865. Знаки должны быть установлены по ГОСТ Р 52289 в</w:t>
      </w:r>
    </w:p>
    <w:p w:rsidR="00A77B3E">
      <w:r>
        <w:t>соответствии с утвержденным проектом (схемой) организации дорожного движения;</w:t>
      </w:r>
    </w:p>
    <w:p w:rsidR="00A77B3E">
      <w:r>
        <w:t>В соответствии с ГОСТ Р телефон «Технические средства организации</w:t>
      </w:r>
    </w:p>
    <w:p w:rsidR="00A77B3E">
      <w:r>
        <w:t>дорожного движения. Правила применения дорожных знаков, разметки, светофоров,</w:t>
      </w:r>
    </w:p>
    <w:p w:rsidR="00A77B3E">
      <w:r>
        <w:t>дорожных ограждений и направляющих устройств», утвержденного и введенного в</w:t>
      </w:r>
    </w:p>
    <w:p w:rsidR="00A77B3E">
      <w:r>
        <w:t>действие Приказом Федерального агентства по техническому регулированию и</w:t>
      </w:r>
    </w:p>
    <w:p w:rsidR="00A77B3E">
      <w:r>
        <w:t>метрологии от дата №1425-ст</w:t>
      </w:r>
    </w:p>
    <w:p w:rsidR="00A77B3E">
      <w:r>
        <w:t>- п. 5.2.22, дорожный знак 1.20.2(3) «Сужение дороги» устанавливают вне</w:t>
      </w:r>
    </w:p>
    <w:p w:rsidR="00A77B3E">
      <w:r>
        <w:t>населенных пунктов перед участками дорог, на которых ширина проезжей части</w:t>
      </w:r>
    </w:p>
    <w:p w:rsidR="00A77B3E">
      <w:r>
        <w:t>уменьшается более чем на 0,5 м, а в населенных пунктах - на одну полосу или более;</w:t>
      </w:r>
    </w:p>
    <w:p w:rsidR="00A77B3E">
      <w:r>
        <w:t>- п. 5.2.27, дорожный знак 1.25 «Дорожные работы» устанавливают перед участком дороги, в пределах которого проводят любые виды работ. Повторный знак 1.25 в</w:t>
      </w:r>
    </w:p>
    <w:p w:rsidR="00A77B3E">
      <w:r>
        <w:t>населенных пунктах устанавливают непосредственно у начала участка проведения работ,</w:t>
      </w:r>
    </w:p>
    <w:p w:rsidR="00A77B3E">
      <w:r>
        <w:t>при этом за начало участка следует принимать первое по ходу движение направляющее</w:t>
      </w:r>
    </w:p>
    <w:p w:rsidR="00A77B3E">
      <w:r>
        <w:t>или ограждающее устройство или временную дорожную разметку, отклоняющую</w:t>
      </w:r>
    </w:p>
    <w:p w:rsidR="00A77B3E">
      <w:r>
        <w:t>транспортный поток перед опасным участком;</w:t>
      </w:r>
    </w:p>
    <w:p w:rsidR="00A77B3E">
      <w:r>
        <w:t>- п. 5.4.21, знак 3.20 «Обгон запрещен» применяют для запрещения обгона всех</w:t>
      </w:r>
    </w:p>
    <w:p w:rsidR="00A77B3E">
      <w:r>
        <w:t>транспортных средств, кроме тихоходных, гужевых повозок, велосипедов, мопедов и</w:t>
      </w:r>
    </w:p>
    <w:p w:rsidR="00A77B3E">
      <w:r>
        <w:t>двухколесных мотоциклов без бокового прицепа;</w:t>
      </w:r>
    </w:p>
    <w:p w:rsidR="00A77B3E">
      <w:r>
        <w:t>- п. 5.1.6, знаки 3.20 и 3.22 дублируются на дорогах с оной полосой для движения в</w:t>
      </w:r>
    </w:p>
    <w:p w:rsidR="00A77B3E">
      <w:r>
        <w:t>каждом направлении;</w:t>
      </w:r>
    </w:p>
    <w:p w:rsidR="00A77B3E">
      <w:r>
        <w:t>- п. 5.5.5, дорожные знаки 4.2.1(2) «Объезд препятствия слева/справа» применяют</w:t>
      </w:r>
    </w:p>
    <w:p w:rsidR="00A77B3E">
      <w:r>
        <w:t>для указания направления объезда различного рода препятствий;</w:t>
      </w:r>
    </w:p>
    <w:p w:rsidR="00A77B3E">
      <w:r>
        <w:t>- п. 5.4.26, знак 3.31 адрес всех ограничений» применяют для указания конца</w:t>
      </w:r>
    </w:p>
    <w:p w:rsidR="00A77B3E">
      <w:r>
        <w:t>участка дороги, на котором вводились одновременно несколько ограничений знаками</w:t>
      </w:r>
    </w:p>
    <w:p w:rsidR="00A77B3E">
      <w:r>
        <w:t>3.16, 3.20, 3.22, 3.24, 3.26-3.30, если нет необходимости распространять действия этих</w:t>
      </w:r>
    </w:p>
    <w:p w:rsidR="00A77B3E">
      <w:r>
        <w:t>ограничений до ближайшего перекрестка или конца населенного пункта;</w:t>
      </w:r>
    </w:p>
    <w:p w:rsidR="00A77B3E">
      <w:r>
        <w:t>- п. 5.9.5, табличку 8.2.1, применяют совместно со знаком 1.25 для указания</w:t>
      </w:r>
    </w:p>
    <w:p w:rsidR="00A77B3E">
      <w:r>
        <w:t>протяженности опасного участка;</w:t>
      </w:r>
    </w:p>
    <w:p w:rsidR="00A77B3E">
      <w:r>
        <w:t>Согласно ГОСТ Р телефон «Дороги автомобильные общего пользования.</w:t>
      </w:r>
    </w:p>
    <w:p w:rsidR="00A77B3E">
      <w:r>
        <w:t>Технические средства организации дорожного движения в местах производства работ.</w:t>
      </w:r>
    </w:p>
    <w:p w:rsidR="00A77B3E">
      <w:r>
        <w:t>Технические требования. Правила применения», утвержденного и введенного в действие</w:t>
      </w:r>
    </w:p>
    <w:p w:rsidR="00A77B3E">
      <w:r>
        <w:t>Приказом Федерального агентства по техническому регулированию и метрологии от</w:t>
      </w:r>
    </w:p>
    <w:p w:rsidR="00A77B3E">
      <w:r>
        <w:t>дата №30-ст:</w:t>
      </w:r>
    </w:p>
    <w:p w:rsidR="00A77B3E">
      <w:r>
        <w:t>- п. 6.1.1.1 Дорожные знаки в зоне работ устанавливают в соответствии с</w:t>
      </w:r>
    </w:p>
    <w:p w:rsidR="00A77B3E">
      <w:r>
        <w:t>требованиями ГОСТ Р 52289. Знаки устанавливают на опорах, в том числе на переносных</w:t>
      </w:r>
    </w:p>
    <w:p w:rsidR="00A77B3E">
      <w:r>
        <w:t>опорах. Конструкция переносных опор должна соответствовать размерам используемых</w:t>
      </w:r>
    </w:p>
    <w:p w:rsidR="00A77B3E">
      <w:r>
        <w:t>дорожных знаков, обеспечивать надежную установку знаков и исключать возможность их</w:t>
      </w:r>
    </w:p>
    <w:p w:rsidR="00A77B3E">
      <w:r>
        <w:t>падения. При установке знаков на раскладных опорах нижний край знака должен</w:t>
      </w:r>
    </w:p>
    <w:p w:rsidR="00A77B3E">
      <w:r>
        <w:t>находиться на высоте не менее 0,6 м от поверхности земли или дорожного покрытия;</w:t>
      </w:r>
    </w:p>
    <w:p w:rsidR="00A77B3E">
      <w:r>
        <w:t>- п. 6.1.5.1, знаки 4.2.1 - 4.2.3 применяют для указания направления объезда начала</w:t>
      </w:r>
    </w:p>
    <w:p w:rsidR="00A77B3E">
      <w:r>
        <w:t>ограждающих устройств на проезжей части, направления объезда рабочей зоны и</w:t>
      </w:r>
    </w:p>
    <w:p w:rsidR="00A77B3E">
      <w:r>
        <w:t>закрытого для движения участка полосы в зоне предупреждения;</w:t>
      </w:r>
    </w:p>
    <w:p w:rsidR="00A77B3E">
      <w:r>
        <w:t>- п. 6.10.1, информационные щиты применяют для информирования участников</w:t>
      </w:r>
    </w:p>
    <w:p w:rsidR="00A77B3E">
      <w:r>
        <w:t>дорожного движения о проводимых долгосрочных работах, их заказчике и сроках</w:t>
      </w:r>
    </w:p>
    <w:p w:rsidR="00A77B3E">
      <w:r>
        <w:t>реализации, а также о подрядной организации, осуществляющей работы.</w:t>
      </w:r>
    </w:p>
    <w:p w:rsidR="00A77B3E">
      <w:r>
        <w:t>Главой 10. «Заключительные и переходные положения» Федерального закона от 27</w:t>
      </w:r>
    </w:p>
    <w:p w:rsidR="00A77B3E">
      <w:r>
        <w:t>дата N 184-ФЗ «О техническом регулировании», ст. 46 предусмотрено, что</w:t>
      </w:r>
    </w:p>
    <w:p w:rsidR="00A77B3E">
      <w:r>
        <w:t>1. Со дня вступления в силу настоящего Федерального закона впредь до вступления</w:t>
      </w:r>
    </w:p>
    <w:p w:rsidR="00A77B3E">
      <w:r>
        <w:t>в силу соответствующих технических регламентов требования к продукции, или</w:t>
      </w:r>
    </w:p>
    <w:p w:rsidR="00A77B3E">
      <w:r>
        <w:t>связанным с ними процессам проектирования (включая изыскания), производству</w:t>
      </w:r>
    </w:p>
    <w:p w:rsidR="00A77B3E">
      <w:r>
        <w:t>строительства, монтажа, наладки, эксплуатации, хранения, перевозки, реализации и</w:t>
      </w:r>
    </w:p>
    <w:p w:rsidR="00A77B3E">
      <w:r>
        <w:t>утилизации, установленные нормативными правовыми актами Российской Федерации и</w:t>
      </w:r>
    </w:p>
    <w:p w:rsidR="00A77B3E">
      <w:r>
        <w:t>нормативными документами федеральных органов исполнительной власти, подлежат</w:t>
      </w:r>
    </w:p>
    <w:p w:rsidR="00A77B3E">
      <w:r>
        <w:t>обязательному исполнению только в части, соответствующей целям:</w:t>
      </w:r>
    </w:p>
    <w:p w:rsidR="00A77B3E">
      <w:r>
        <w:t>- защиты жизни и здоровья граждан, имущества физических или юридических лиц,</w:t>
      </w:r>
    </w:p>
    <w:p w:rsidR="00A77B3E">
      <w:r>
        <w:t>государственного или муниципального имущества;</w:t>
      </w:r>
    </w:p>
    <w:p w:rsidR="00A77B3E">
      <w:r>
        <w:t>- охраны окружающей среды, жизни или здоровья животных и растений;</w:t>
      </w:r>
    </w:p>
    <w:p w:rsidR="00A77B3E">
      <w:r>
        <w:t>Таким образом требования Государственных стандартов Российской Федерации</w:t>
      </w:r>
    </w:p>
    <w:p w:rsidR="00A77B3E">
      <w:r>
        <w:t>направленных на обеспечение безопасности дорожного движения подлежат</w:t>
      </w:r>
    </w:p>
    <w:p w:rsidR="00A77B3E">
      <w:r>
        <w:t>обязательному исполнению.</w:t>
      </w:r>
    </w:p>
    <w:p w:rsidR="00A77B3E">
      <w:r>
        <w:t>Согласно приказа №15/04-2/п от дата гр. фио, назначен</w:t>
      </w:r>
    </w:p>
    <w:p w:rsidR="00A77B3E">
      <w:r>
        <w:t>ответственным лицом за производство работ на объекте: Ремонт улично-дорожной сет</w:t>
      </w:r>
    </w:p>
    <w:p w:rsidR="00A77B3E">
      <w:r>
        <w:t>муниципального образования ГО Алушта адрес, 1-й этап в дата».</w:t>
      </w:r>
    </w:p>
    <w:p w:rsidR="00A77B3E">
      <w:r>
        <w:t xml:space="preserve">Вина фио в совершении административного правонарушения, ответственность за которое установлена ч.1 статьи 12.34 КоАП РФ подтверждается следующими доказательствами: </w:t>
      </w:r>
    </w:p>
    <w:p w:rsidR="00A77B3E">
      <w:r>
        <w:t>- протоколом об административном правонарушении 82АП№АП243307 от дата;</w:t>
      </w:r>
    </w:p>
    <w:p w:rsidR="00A77B3E">
      <w:r>
        <w:t>- письменными объяснениями фио  от дата;</w:t>
      </w:r>
    </w:p>
    <w:p w:rsidR="00A77B3E">
      <w:r>
        <w:t>- приказом о приеме на работу от дата;</w:t>
      </w:r>
    </w:p>
    <w:p w:rsidR="00A77B3E">
      <w:r>
        <w:t>- приказом о возложении обязанностей от дата;</w:t>
      </w:r>
    </w:p>
    <w:p w:rsidR="00A77B3E">
      <w:r>
        <w:t>- актом о проведении постоянного рейда от дата;</w:t>
      </w:r>
    </w:p>
    <w:p w:rsidR="00A77B3E">
      <w:r>
        <w:t>- протоколом осмотра №8 от дата;</w:t>
      </w:r>
    </w:p>
    <w:p w:rsidR="00A77B3E">
      <w:r>
        <w:t xml:space="preserve">- фототаблицей; </w:t>
      </w:r>
    </w:p>
    <w:p w:rsidR="00A77B3E">
      <w:r>
        <w:t>Иными доказательствами, которые у суда сомнений не вызывают.</w:t>
      </w:r>
    </w:p>
    <w:p w:rsidR="00A77B3E">
      <w:r>
        <w:t>Согласно ч. 1 ст.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юридических лиц - от двухсот тысяч до сумма прописью.</w:t>
      </w:r>
    </w:p>
    <w:p w:rsidR="00A77B3E">
      <w: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A77B3E">
      <w:r>
        <w:t>В соответствии со статьей 3 Федерального закона от дата N 196-ФЗ "О безопасности дорожного движения" (далее - Закон N 196-ФЗ)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>
      <w:r>
        <w:t>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положениям статьи 12 Закона N 196-ФЗ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>
      <w:r>
        <w:t>Пунктом 1 статьи 18 Федерального закона от дата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Закон N 257-ФЗ) установлено, что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A77B3E">
      <w:r>
        <w:t>В соответствии с п. 6 ст. 3 Закон N 257-ФЗ содержание и ремонт автомобильных дорог является разновидностью дорожной деятельности.</w:t>
      </w:r>
    </w:p>
    <w:p w:rsidR="00A77B3E">
      <w:r>
        <w:t>Исходя из положений приведенных выше норм Законов N 196-ФЗ и N 257-ФЗ, субъектами административного правонарушения, предусмотренного ч. 1 ст. 12.34 Кодекса Российской Федерации об административных правонарушениях, являются должностные и юридические лица, ответственные за состояние дорог и дорожных сооружений, которые осуществляют дорожную деятельность в отношении автомобильных дорог регионального или межмуниципального значения.</w:t>
      </w:r>
    </w:p>
    <w:p w:rsidR="00A77B3E">
      <w:r>
        <w:t>Приведенные выше нормы не содержат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 w:rsidR="00A77B3E">
      <w:r>
        <w:tab/>
        <w:t>Как было указано выше, субъектом рассматриваемого административного правонарушения является исполнитель работ наименование организации фио, как лицо, осуществляющее контроль по соблюдению подчиненными требований нормативно – правовых актов при проведении дорожных работ.</w:t>
      </w:r>
    </w:p>
    <w:p w:rsidR="00A77B3E">
      <w:r>
        <w:t>В силу изложенного, вина фио в совершении правонарушения, ответственность за которое установлена частью первой статьи 12.34 КоАП РФ установлена и подтверждается собранными по делу доказательствами</w:t>
      </w:r>
    </w:p>
    <w:p w:rsidR="00A77B3E">
      <w:r>
        <w:t>Частью первой статьи 12.34 КоАП РФ установлено, что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сумма прописью.</w:t>
      </w:r>
    </w:p>
    <w:p w:rsidR="00A77B3E">
      <w:r>
        <w:t>Вместе с тем, прихожу к выводу, что по настоящему делу имеются основания для применения статьи 4.1 КоАП РФ по следующим основаниям.</w:t>
      </w:r>
    </w:p>
    <w:p w:rsidR="00A77B3E">
      <w:r>
        <w:t>Согласно частей 3.2, 3.3, статьи 4.1 Кодекса Российской Федерации об административных правонарушениях (введенных Федеральным законом от дата N 515-ФЗ)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сумма прописью.</w:t>
      </w:r>
    </w:p>
    <w:p w:rsidR="00A77B3E">
      <w: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>
      <w:r>
        <w:t>Из вышеуказанных правовых норм следует, что уменьшение размера штрафа ниже низшего предела санкции, предусмотренной соответствующей нормой Кодекса Российской Федерации об административных правонарушениях, является прерогативой суда, производится с учетом характера совершенного административного правонарушения, имущественного и финансового положения юридического лица, а также иных имеющих значение для дела существенных обстоятельств.</w:t>
      </w:r>
    </w:p>
    <w:p w:rsidR="00A77B3E">
      <w:r>
        <w:t>Принимая во внимание то обстоятельство, что фио признал свою вину в допущенном правонарушении, ранее по данной статье к административной ответственности не привлекался, замещал должность директора предприятия непродолжительное время, а также отсутствие отягчающих вину обстоятельств, считаю возможным снизить фио административный штраф и назначить административное наказание   в виде административного штрафа в размере сумма</w:t>
      </w:r>
    </w:p>
    <w:p w:rsidR="00A77B3E">
      <w: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A77B3E">
      <w:r>
        <w:t xml:space="preserve">          </w:t>
        <w:tab/>
        <w:t>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>Признать фио, 18.телефон года рождения виновным в совершении административного правонарушения, предусмотренного ч. 1 ст. 12.34 КоАП РФ, и назначить ему наказание, с применением ч. 2.2 ст. 4.1 КоАП РФ, в виде административного штрафа в размере сумма.</w:t>
      </w:r>
    </w:p>
    <w:p w:rsidR="00A77B3E">
      <w:r>
        <w:t>Штраф подлежит перечислению по следующим реквизитам: Получатель:  Реквизиты для оплаты административного штрафа:  Получатель платежа: УФК по адрес (УМВД России по адрес), КПП телефон, ИНН телефон, к/с 03100643000000017500, №.сч. 03100643000000017500, банк получателя: Отделение по  адрес ЮГУ ЦБ РФ, БИК телефон, КБК 18811601123010001140, ОКТМО телефон, УИН:18810491241500001213.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Мировой судья:                                                                  </w:t>
        <w:tab/>
        <w:t xml:space="preserve">      </w:t>
        <w:tab/>
        <w:tab/>
        <w:t>фио</w:t>
      </w:r>
    </w:p>
    <w:p w:rsidR="00A77B3E">
      <w:r>
        <w:t>7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