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5-23-258/2024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данныеадрес, паспортные данные, улица, адрес, 2,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 xml:space="preserve">дата председатель правления ТСН "РЕКРЕАЦИОННО-ОЗДОРОВИТЕЛЬНЫЙ КОМПЛЕКС ПРЕМЬЕРА" фио, по адресу: адрес,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Председатель правления ТСН "РЕКРЕАЦИОННО-ОЗДОРОВИТЕЛЬНЫЙ КОМПЛЕКС ПРЕМЬЕРА" фио в срок до дата не представил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дата, фактически отчетность обществом представлена не была. Фактическая дата предоставления отчетности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председателя правления ТОВАРИЩЕСТВА СОБСТВЕННИКОВ НЕДВИЖИМОСТИ "РЕКРЕАЦИОННО-ОЗДОРОВИТЕЛЬНЫЙ КОМПЛЕКС ПРЕМЬЕРА" фио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