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5-23-269/2019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зарегистрированного и проживающего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в адрес юридического лица по почте заказным письмом с уведомлением были направлены  судебные повестки, которые, согласно отчета об отслеживании отправления, не были получены фио, в связи с неудачной попыткой вручения.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000076 от дата; выпиской из Единого государственного реестра юридический лиц в отношении наименование организации; копией сведений о застрахованных лицах;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его вины;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