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5-23-270/2019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000077 от дата; выпиской из Единого государственного реестра юридический лиц в отношении наименование организации; копией сведений о застрахованных лицах;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