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5-23-271/2019</w:t>
      </w:r>
    </w:p>
    <w:p w:rsidR="00A77B3E">
      <w:r>
        <w:t xml:space="preserve">                                                                                                   УИД-91MS0023-телефон-телефон</w:t>
      </w:r>
    </w:p>
    <w:p w:rsidR="00A77B3E">
      <w:r>
        <w:t xml:space="preserve">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               Мировой судья судебного участка № 23 Алуштинского судебного района (городской адрес) адрес  фио,</w:t>
      </w:r>
    </w:p>
    <w:p w:rsidR="00A77B3E">
      <w:r>
        <w:t xml:space="preserve">              рассмотрев дело об административном правонарушении, предусмотренном ст.15.33.2 КоАП РФ в отношении генерального директора наименование организации фио, паспортные данные; зарегистрированного и проживающего по адресу: адрес; ранее не привлекавшейся к административной ответственности, </w:t>
      </w:r>
    </w:p>
    <w:p w:rsidR="00A77B3E">
      <w:r>
        <w:t xml:space="preserve">                                                                          установил:                </w:t>
      </w:r>
    </w:p>
    <w:p w:rsidR="00A77B3E"/>
    <w:p w:rsidR="00A77B3E">
      <w:r>
        <w:t xml:space="preserve">        фио, занимая должность генерального директора наименование организации,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и в адрес юридического лица по почте заказным письмом с уведомлением были направлены  судебные повестки, которые, согласно отчета об отслеживании отправления, не были получены фио, в связи с неудачной попыткой вручения.</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000078 от дата; выпиской из Единого государственного реестра юридический лиц в отношении наименование организации; копией сведений о застрахованных лицах; выпиской из журнала учета приема сведений СЗВ-М за дата;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степень его вины; характер совершенного административного правонарушения; личность правонарушителя; его имущественное и семейное положение.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