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фио паспортные данные зарегистрированного по адресу: адрес; не состоящего в зарегистрированном браке; не работающего;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фио, дата был привлечен к административной ответственности по ч.1 ст.20.20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штраф оплатил, однако квитанций в орган ОМВД по адрес, вынесший постановление не представил.  Просил строго не наказывать.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фио был ознакомлен и согласен;  постановлением по делу об административном правонарушении от дата, которым фио был привлечен к административной ответственности по  ч.1 ст.20.20 КоАП РФ  и подвергнут административному штрафу в размере сумма, постановление вступило в силу дата; информацией  из ОМВД России по адрес, из которой усматривается, что штраф, назначенный этим постановлением не оплачен; письменными объяснениями  привлекаемого лица.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фио  установлена, доказана и его действия надлежит квалифицировать по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фио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18880491180002421031.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