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ab/>
        <w:t xml:space="preserve">                    адрес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 паспортные данные, трудоустроенного, проживающего по адресу: адрес общ., квартира 6,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ab/>
        <w:t>дата в время в фио находясь по адресу: адрес, нанес побои фио паспортные данные, посредством нанесения удара левой рукой по правой стороне лица потерпевшей, чем причинил телесные повреждения в виде кровоподтека в височной области головы с правой стороны, с переходом на веки правого глаза,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>фио в судебном заседании вину в совершении административного правонарушения   признал, пояснил, что уже примирился с потерпевшей.</w:t>
      </w:r>
    </w:p>
    <w:p w:rsidR="00A77B3E">
      <w:r>
        <w:t>Потерпевшая фио, о дате и месте рассмотрения протокола уведомлена надлежащим образом, факты, изложенные в протоколе об административном правонарушении подтвердила, просила рассмотреть протокол об административном правонарушении в ее отсутствие, о че4м свидетельствует имеющаяся в материалах административного дела расписка потерпевшей.</w:t>
      </w:r>
    </w:p>
    <w:p w:rsidR="00A77B3E">
      <w:r>
        <w:t>Мировой судья, исследовав материалы дела об административном правонарушении, приходит к следующему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заключением эксперта, объяснениями фио и показаниями фио, другими доказательствами, не доверять которым у суда оснований не имеется. 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6.1.1  КоАП РФ. </w:t>
      </w:r>
    </w:p>
    <w:p w:rsidR="00A77B3E">
      <w:r>
        <w:t>Установлены также, обстоятельства смягчающие административную ответственность – признание вины, раскаяние.</w:t>
      </w:r>
    </w:p>
    <w:p w:rsidR="00A77B3E">
      <w:r>
        <w:t>В соответствии с положениями статьи 6.1.1 КоАП РФ,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>Учитывая изложенные выше обстоятельства, обстоятельства, смягчающие административную ответственность, тот факт, что фио ранее к административной ответственности за нанесение побоев не привлекался, мировой судья пришел к выводу о возможности назначить административное наказание в виде административного штрафа, в пределах санкции статьи 6.1.1 в размере сумма.</w:t>
      </w:r>
    </w:p>
    <w:p w:rsidR="00A77B3E">
      <w:r>
        <w:t>На основании изложенного, руководствуясь ст.ст. 29.9, 29.10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 паспортные данные виновным в совершении административного правонарушения предусмотренного статьей 6.1.1 Кодекса Российской Федерации об административных правонарушениях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штраф, УИН 18880491190002590355.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Мировой судья 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