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05-23-_________/2018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УССР, работающего адрес парковый работник, зарегистрированного по адресу:  адрес,</w:t>
      </w:r>
    </w:p>
    <w:p w:rsidR="00A77B3E">
      <w:r>
        <w:t>о совершении административного правонарушения, предусмотренного ст. 12.26 ч.2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транспортным средством мопед Вайпер Актив, без государственного регистрационного номера, не имея права управления транспортным средством,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вину признал. Заявлений и ходатайств не имеет.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неустойчивость позы, нарушение речи, резкое изменение окраски кожных покровов лица, поведение не соответствующее обстановке. 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 действиях фио состава административного правонарушения, предусмотренного ст. 12.26 ч.2 КоАП РФ. 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  <w:tab/>
        <w:tab/>
        <w:t xml:space="preserve">               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