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№5-23-354/2025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гражданки РФ паспортные данные, официально нетрудоустроенной, зарегистрированной по адресу: адрес, ранее к административной ответственности не привлекалась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гражданка фио управляла транспортным средством марки марка автомобиля модель «Веста» государственный регистрационный знак В863ЕТ82, не имея права управления транспортным средством, не выполнила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признала, указала, что отказалась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получала, как действовать правильно не знала.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Маковского Т.Г. и перечислены в акте освидетельствования на состояние алкогольного опьянения: запах алкоголя изо рта, неустойчивость позы.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ДПС, что управляла транспортным средством, указала маршрут движения.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виновной в совершении административного правонарушения, ответственность за которое установлена частью 2 статьи 12.26 КоАП РФ и подвергнуть её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дней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