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5-23-394/2022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№18810182220221087296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№8810182220221087296,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0410760300235003942220101.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