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05-23-403/2017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главного бухгалтера наименование организацииадресфио,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/>
    <w:p w:rsidR="00A77B3E">
      <w:r>
        <w:t>дата по адресу: адрес, Промзона, д. 1, каб.1, Главный бухгалтер наименование организацииадрес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документов, необходимых для осуществления налогового контроля – дата, фактически сведения  представлены дата.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просрочка составила один день,  данное правонарушение не представляет общественной опасности, ранее фио не совершал аналогичные административные правонарушения, в связи с малозначительностью административного правонарушения, мировой судья  считает возможным освободить фио от административной ответственности,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В связи с малозначительностью административного правонарушения, освободить главного бухгалтера наименование организацииадресфио, паспортные данные, от административной ответственности за совершение административного правонарушения, предусмотренного ст. 15.6 ч.1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