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5-23-414/2018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 xml:space="preserve">      дата фио осуществляя деятельность в качестве индивидуального предпринимателя,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фактически предоставив эти сведения дата.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судебном заседании вину признала. Просила учесть, что  просрочка  предоставления сведений составила незначительный промежуток времени; обещала впредь не совершать подобных правонарушений. По указанным основаниям просила не привлекать её к административной ответственности.</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были представлены в органы пенсионного фонда дата, с нарушением установленного законом срока. </w:t>
      </w:r>
    </w:p>
    <w:p w:rsidR="00A77B3E">
      <w:r>
        <w:t xml:space="preserve">              Факт совершения наименование организации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000178 от дата; выпиской из Единого государственного реестра индивидуальных предпринимателей в отношении фио фио; протоколом проверки; уведомлением о составлении протокола об административном правонарушении; реквизитами для перечислений штрафов на должностных лиц;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