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 Дело № 5-23-449/2020                                          </w:t>
      </w:r>
    </w:p>
    <w:p w:rsidR="00A77B3E">
      <w:r>
        <w:tab/>
        <w:t>Мировой судья судебного участка № 23 Алуштинского судебного района (г.адрес) фио рассмотрев административный материал в отношении фио, паспортные данные, официально не трудоустроен, зарегистрирован по адресу: адрес, паспортные данные, ранее к административной ответственности не привлекался,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на дороге в районе дома №8, гражданин фио 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фио в судебном заседании вину в совершенном правонарушении признал, не отрицал обстоятельств, изложенных в протоколе об административном правонарушении.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объяснением фио,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оплаты штрафов: </w:t>
      </w:r>
    </w:p>
    <w:p w:rsidR="00A77B3E">
      <w:r>
        <w:t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телефон.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