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5-23-458/2019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/>
    <w:p w:rsidR="00A77B3E">
      <w:r>
        <w:t>И.о.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России, разведенного, пенсионера, проживающего по адресу: адрес,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>дата в время в районе дома № 7 по адрес в адрес фио находился в общественном месте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 фио И.А. в суде виновным себя в совершении административного правонарушения признал полностью, раскаялся в содеянном. </w:t>
      </w:r>
    </w:p>
    <w:p w:rsidR="00A77B3E">
      <w:r>
        <w:t xml:space="preserve">          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259397 от дата, составленным  уполномоченным должностным лицом, согласно которому дата в время в районе дома № 7 по адрес в адрес фио находился в общественном месте в состоянии опьянения, чем оскорблял человеческое достоинство и общественную нравственность (л.д. 2). Существенных недостатков, которые могли бы повлечь его недействительность, протокол не содержит;</w:t>
      </w:r>
    </w:p>
    <w:p w:rsidR="00A77B3E">
      <w:r>
        <w:t>- фототаблицей (л.д. 5);</w:t>
      </w:r>
    </w:p>
    <w:p w:rsidR="00A77B3E">
      <w:r>
        <w:t>- актом медицинского освидетельствования на состояние алкогольного опьянения № 299 от дата, согласно которому на момент освидетельствования у фио зафиксированы невнятность речи, шаткость походки, запах алкоголя из рта; от медицинского освидетельствования на состояние опьянения он отказался (л.д. 10);</w:t>
      </w:r>
    </w:p>
    <w:p w:rsidR="00A77B3E">
      <w:r>
        <w:t>- рапортом сотрудника полиции от дата об обнаружении факта совершения административного правонарушения (л.д. 19) и другими материалами дела.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является пенсионером; его имущественное положение.</w:t>
      </w:r>
    </w:p>
    <w:p w:rsidR="00A77B3E">
      <w:r>
        <w:t>К обстоятельствам, смягчающим ответственность, мировой судья относит признание вины и раскаяние в содеянном.</w:t>
      </w:r>
    </w:p>
    <w:p w:rsidR="00A77B3E">
      <w:r>
        <w:t>К числу обстоятельств, отягчающих административную ответственность, суд относит повторное совершение однородного административного правонарушения (л.д. 17).</w:t>
      </w:r>
    </w:p>
    <w:p w:rsidR="00A77B3E">
      <w:r>
        <w:t xml:space="preserve">  Таким образом, учитывая вышеизложенное, полагаю возможным назначить ему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идентификатор - 18880491190002593974,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18811690040046000140, наименование платежа – штраф.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