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№2-23-480/2022    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данные, зарегистрированного по адресу: адрес, трудоустроенного, ранее привлекавшийся к 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в общественном месте по адресу: адрес, был выявлен гражданин фио,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телефон, УИН 0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