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№2-23-492/2023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Костерного фио, паспортные данные, зарегистрированного по адресу: адрес, официально не трудоустроенного, ранее привлекавшего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вблизи дома №3,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 xml:space="preserve"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 суд полагает необходимым назначить фио административное наказание в виде административного ареста, поскольку фио имеет ряд неоплаченных штрафов, систематически нарушает общественный порядок, неоднократно привлекался к административной ответственности.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Костерного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сроком на 10х суток.</w:t>
      </w:r>
    </w:p>
    <w:p w:rsidR="00A77B3E">
      <w:r>
        <w:t>Срок ареста исчислять дата с время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 xml:space="preserve">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