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5-23-615/2022</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зарегистрированный и проживающий по адресу: адрес, водительское удостоверение 70147 №303541 от дата, официально трудоустроенного – наименование организации, ЖЭК №2,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У907ХН123, при наличии признаков опьянения (запах алкоголя из полости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дата фио в судебное заседание не явился, о дате, времени и месте проведения судебного заседания извещен судом надлежащим образом посредством направления телефонограммы в его адрес.</w:t>
      </w:r>
    </w:p>
    <w:p w:rsidR="00A77B3E">
      <w:r>
        <w:t>При этом фио об отложении судебного заседания на более позднюю дату не ходатайтсвовал, своего представителя в судебное заседание не направил, отзыв, письменные пояснения также не представил.</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82АП№179487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им без каких-либо замечаний, с протоколом согласен;</w:t>
      </w:r>
    </w:p>
    <w:p w:rsidR="00A77B3E">
      <w:r>
        <w:t xml:space="preserve"> </w:t>
        <w:tab/>
        <w:t xml:space="preserve">- протоколом 82ОТ№044761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 регистрационный знак У907ХН123,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61АК622357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резкое изменение окраски кожных покровов лица, поведение не соответствующее обстановке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УИН:18810491221500003400.</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