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...24-7/...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 xml:space="preserve">                            адрес</w:t>
      </w:r>
    </w:p>
    <w:p w:rsidR="00A77B3E">
      <w:r>
        <w:t xml:space="preserve">Мировой судья судебного участка № ...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... по адрес, в отношении должностного лица</w:t>
      </w:r>
    </w:p>
    <w:p w:rsidR="00A77B3E">
      <w:r>
        <w:t>фио, паспортные данные, ИНН ......,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... (место нахождения: адрес), нарушил установленный законодательством о налогах и сборах срок представления налоговой декларации по налогу на имущество организации за дата в налоговый орган по месту учета, что является нарушением требований п.п. 4 п. 1 ст. 23 НК РФ.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налоговой декларации по налогу на имущество организации за дата в налоговый орган по месту учета является дата. </w:t>
      </w:r>
    </w:p>
    <w:p w:rsidR="00A77B3E">
      <w:r>
        <w:t xml:space="preserve">фио представил в налоговый орган налоговую декларацию по налогу на имущество организации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№ 2130 налоговой проверки от дата (л.д. 14-16); сведениями фио, которыми подтверждается факт представления налоговой декларации – дата, то есть с нарушением установленного законом срока (л.д. 17); выпиской из ЕГРЮЛ согласно которой фио является ... (л.д. 19-23).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