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5-...-10/2025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...дата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         </w:t>
        <w:tab/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>фио, паспортные данные, гражданина России;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дата... в время в адрес, фио в предусмотренный КоАП РФ срок не уплатил штраф в размере сумма, назначенный постановлением должностного лица – начальника ... Госавтоинспекции МВД по адрес, вступившим в законную силу дата..., за совершение административного правонарушения, предусмотренного ч.2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При таких обстоятельствах, суд считает возможным рассмотреть дело по имеющимся материалам дела в отсутствие привлекаемого лица, что согласуется с требованиями ч. 2                 ст. 25.1 КоАП РФ и с правовой позицией Верховного Суда Российской Федерации, выраженной в Обзоре судебной практики Верховного Суда Российской Федерации N 4 (2016) (вопрос  N 4), утвержденном Президиумом Верховного Суда Российской Федерации дата.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82 КР № 020709 от дата... (л.д. 1); копией постановления о назначении административного наказания от дата...,  которым фио,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(л.д.2-3); копией паспорта на имя фио (л.д. 5); сведениями об уплате штрафа (л.д. 4); карточкой операции с ВУ (л.д. 7);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0410760300...5000102520128.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