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5-24-20/2021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... фио, паспортные данные, женатого, пенсионера,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350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...фио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материалы дела, мировой судья приходит к выводу о виновности ...фио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...фио подтверждается протоколом об административном правонарушении (л.д. 2); рапортами о выявлении факта совершения правонарушения (л.д. 12); протоколом осмотра места происшествия, в ходе которого в автомобиле ...фио была обнаружена и изъята спиртосодержащая продукция (л.д. 13-15)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...фио,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...фио,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...фио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...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...фио спиртосодержащую продукцию (л.д. 13-15),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телефон в УФК по адрес код сводного реестра 35220323), ИНН: телефон, КПП: телефон, Банк получателя: Отделение по адрес Южного главного управления ЦБРФ, БИК: телефон, Единый казначейский счет: 40102810645370000035, казначейский счет 03100643000000017500, ОКТМО – телефон; код бюджетной классификации КБК – телефон телефон, наименование платежа – штраф по делу об административном правонарушении № 5-24-20/2021.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