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...-21/...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                     адрес</w:t>
      </w:r>
    </w:p>
    <w:p w:rsidR="00A77B3E">
      <w:r>
        <w:tab/>
        <w:t>Мировой судья судебного участка № ...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... фио, паспортные данные, ..., паспортные данные, работающего ... наименование организации (далее по тексту – наименование организации, место нахождения: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организации, не исполнил обязанность по предоставлению пояснений на Требование о предоставлении пояснений от дата № 780 и (или) внесению соответствующих исправлений в налоговую декларацию по упрощенной системе налогообложения,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федеральным органом исполнительной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 xml:space="preserve">Так, Требование о предоставлении пояснений от дата № 780 и (или) внесению соответствующих исправлений в налоговую декларацию по упрощенной системе налогообложения, Межрайонной ИФНС № 8 по адрес было направлено по телекоммуникационным каналам связи наименование организации - дата. Отправление было вручено налогоплательщику – дата. </w:t>
      </w:r>
    </w:p>
    <w:p w:rsidR="00A77B3E">
      <w:r>
        <w:t>Обязательства по требованию о предоставлении пояснений от дата № 780 следовало исполнить в пятидневный срок со дня получения, то есть не позднее дата.</w:t>
      </w:r>
    </w:p>
    <w:p w:rsidR="00A77B3E">
      <w:r>
        <w:t xml:space="preserve">Фактически пояснения на требование о предоставлении пояснений от дата        № 780 фио представлен дата, то есть с нарушением срока,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требования № 780 о представлении пояснений от дата (л.д. 8); копией квитанции о приеме дата (л.д. 9); копией решения № 223 от дата (л.д. 10-11); выпиской из ЕГРЮЛ содержащей сведения наименование организации (л.д. 13-15).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                                  УИН 0410760300245000212415153,  наименование платежа – штраф по делу об административном правонарушении ...-21/....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ab/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