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5-24-26/2020</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в отношении </w:t>
      </w:r>
    </w:p>
    <w:p w:rsidR="00A77B3E">
      <w:r>
        <w:t>... фио, паспортные данные и гражданина адрес, имеющего временную регистрацию на адрес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км.+500м. адрес с Украиной-Симферополь-Алушта-Ялта» управлял автомобилем марки «...»,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084454 от дата, из которого следует, что фио дата в время на 688-м км.+500м. адрес с Украиной-Симферополь-Алушта-Ялта» управлял автомобилем марки «...»,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АО № 003203 от дата, с применением технического средства измерения «Юпитер», в результате которого на момент освидетельствования было установлено состояние алкогольного опьянения ...фио, показание прибора – 0,206 мг/л (л.д. 3, 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к числу обстоятельств, смягчающих ответственность, мировой судья относит признание вины и раскаяние лица, совершившего административное правонарушение.</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18810491196000018743.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