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...-32/...</w:t>
      </w:r>
    </w:p>
    <w:p w:rsidR="00A77B3E"/>
    <w:p w:rsidR="00A77B3E">
      <w:r>
        <w:t>ПОСТАНОВЛЕНИЕ</w:t>
      </w:r>
    </w:p>
    <w:p w:rsidR="00A77B3E"/>
    <w:p w:rsidR="00A77B3E">
      <w:r>
        <w:t>дата...                                                            адрес</w:t>
      </w:r>
    </w:p>
    <w:p w:rsidR="00A77B3E"/>
    <w:p w:rsidR="00A77B3E">
      <w:r>
        <w:t>Мировой судья судебного участка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РФ; не работающего; зарегистрированного и проживающего по адресу: адрес,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180 км + 500 м. адрес с Херсонской областью-Симферополь-..., водитель фио, управлявший транспортным средством марки марка автомобиля Паджеро»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213626 от дата, в котором указано место, время, состав правонарушения (л.д. 1); результатами поиска правонарушений (л.д. 5); карточкой операции с ВУ (л.д. 4); компакт-диском с видеозаписью фиксации правонарушения                 (л.д. 2).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части 4 статьи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18810491231500003876.</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