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5-24-50/2020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не работающего, ...,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 однако просил прекратить производство по делу за истечением срока давности привлечения к административной ответственности.</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010705 от дата, из которого следует, что фио дата в время в районе дома № 1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413549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584726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Смягчающим ответственность обстоятельством суд учитывает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 xml:space="preserve">Обстоятельств, влекущих прекращение производства по делу, не установлено. </w:t>
      </w:r>
    </w:p>
    <w:p w:rsidR="00A77B3E">
      <w:r>
        <w:t>При этом срок давности привлечения лица к административной ответственности по ч. 1 ст. 12.26 КоАП РФ в силу ч. 1 ст. 12.26 КоАП РФ составляет один год. Следовательно, на момент рассмотрения дела срок давности привлечения фио к административной ответственности за данное правонарушение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Дранова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18810491191500001314.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