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5-24-69/2020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 в отношении </w:t>
      </w:r>
    </w:p>
    <w:p w:rsidR="00A77B3E">
      <w:r>
        <w:t xml:space="preserve">фио, паспортные данные, гражданина РФ, разведенного, не работающего, проживающего по адресу: адрес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во внутренних морских водах РФ, в акватории Черного моря, в бухте Капсель левее адрес, на расстоянии менее 100 метров от берега, в запрещенный для добычи водных биологических ресурсов период (с дата по дата), на участке от адрес до адрес, осуществлял добычу (вылов) водных биологических ресурсов с использованием ружья для подводной охоты, чем нарушил требования п.п. 13.5.1, 52 Приказа Министерства сельского хозяйства РФ от дата № 293 «Об утверждении Правил рыболовства для Азово-Черноморского рыбохозяйственного бассейна».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его отсутствие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Квалификация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 (далее – Правила).</w:t>
      </w:r>
    </w:p>
    <w:p w:rsidR="00A77B3E">
      <w:r>
        <w:t>В соответствии с положениями п. 13.5.1 указанных Правил, гражданам запрещается осуществлять подводную охоту в запретных и закрытых для рыболовства районах, в запретные для добычи (вылова) водных биоресурсов сроки (периоды).</w:t>
      </w:r>
    </w:p>
    <w:p w:rsidR="00A77B3E">
      <w:r>
        <w:t>Согласно п. 52 Правил, с дата по дата является запретным периодом для добычи (вылова) всех видов водных биоресурсов на участке от адрес до адрес включительно на расстоянии от берега менее 100 м.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 в протоколе содержится письменное объяснение фио, из которого усматривается признание им вины в содеянном; протоколом об изъятии у фио ружья для подводной охоты (л.д. 3-5), переданного в последующем на хранение уполномоченному должностному лицу отделения (погз) в адрес (л.д. 6).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орудия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орудия добычи водных биологических ресурсов.</w:t>
      </w:r>
    </w:p>
    <w:p w:rsidR="00A77B3E">
      <w:r>
        <w:tab/>
        <w:t>Изъятое у фио ружье для подводной охоты, находящееся на хранении в отделении (погз) адрес в адрес ПУ ФСБ России по адрес по адресу: адрес (л.д. 3, 5, 6), - возвратить фио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5-24-69/2020».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