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5-24-69/2022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правонарушении,                            - фио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работающего ликвидатором наименование организации (далее по тексту – наименование организации),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ликвидатором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...» за дата были представлены дата.</w:t>
      </w:r>
    </w:p>
    <w:p w:rsidR="00A77B3E">
      <w:r>
        <w:t>Однако форма СЗВ-М «Дополняющая» за дата предоставлена дата на 1 застрахованное лица, сведения на которое ранее в форме СЗВ-М тип ...» фио не представлялись.</w:t>
      </w:r>
    </w:p>
    <w:p w:rsidR="00A77B3E">
      <w:r>
        <w:t xml:space="preserve">фио вину свою в совершении административного правонарушения признал полностью. </w:t>
      </w:r>
    </w:p>
    <w:p w:rsidR="00A77B3E">
      <w:r>
        <w:t xml:space="preserve">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000086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ликвидатора наименование организации (л.д. 2-3); результатами проверки сроков сдачи отчетности (л.д. 4-6).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