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Дело № ...102/2024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</w:t>
        <w:tab/>
        <w:t xml:space="preserve">                          адрес</w:t>
      </w:r>
    </w:p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ИНН ... генерального директора наименование организации, зарегистрированного и проживающего по адресу: адрес, ...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...                    наименование организации (место нахождения: адрес, адрес), не представил истребуемые документы (информацию) в установленный срок (десяти рабочих дней со дня получения требования от дата № 15-13/1463), что является нарушением требований п. 5 ст. 93.1 НК РФ.</w:t>
      </w:r>
    </w:p>
    <w:p w:rsidR="00A77B3E">
      <w:r>
        <w:t>Так, в соответствии с п. 5 ст. 91.3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Так, согласно квитанции о приеме электронного документа, требование о представлении документов (информации) от дата № 15-13/1463 и копия получения об истребовании документов (информации) от дата № 2302 получены налогоплательщиком по ТКС – дата. Следовательно, требование в соответствии с п. 5 ст. 93.1 НК РФ следовало исполнить в пятидневный срок со дня получения, то есть не позднее дата.</w:t>
      </w:r>
    </w:p>
    <w:p w:rsidR="00A77B3E">
      <w:r>
        <w:t xml:space="preserve">фио представил документы по требованию о представлении документов (информации) от дата № 15-13/1463 – дата,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фио в судебное заседание не явился, о времени и месте рассмотрения дела извещался надлежащим образом, до начала судебного заседания подал ходатайство о рассмотрении дела об административном правонарушении в его отсутствие.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2-5); копией решения № 15-13/125 о привлечении лица к ответственности за налоговое правонарушение, предусмотренное НК РФ от дата (л.д. 17-18); копией поручения № 2302 об истребовании документов (информации) от дата (л.д. 20); копией требования № 15-13/1463 о представлении документов (информации) от дата (л.д. 19), квитанцией о приеме электронного документа (л.д. 21); сведениями из АИС налог-3 (л.д. 22); выпиской из ЕГРЮЛ (л.д. 24-28).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код бюджетной классификации КБК – телефон телефон, УИН 0410760300245001022415184, наименование платежа – штраф по делу об административном правонарушении № ...102/2024.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  <w:tab/>
        <w:tab/>
        <w:tab/>
        <w:t xml:space="preserve">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