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...-140/...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</w:t>
        <w:tab/>
        <w:t xml:space="preserve">                             адрес</w:t>
      </w:r>
    </w:p>
    <w:p w:rsidR="00A77B3E">
      <w:r>
        <w:t xml:space="preserve">Мировой судья судебного участка № ...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адрес, ИНН ......... председателя наименование организации, проживающей по адресу: адрес,</w:t>
      </w:r>
    </w:p>
    <w:p w:rsidR="00A77B3E">
      <w:r>
        <w:t>по ст. 15.5 КоАП РФ,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наименование организации (место нахождения: адрес, адрес), нарушила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....</w:t>
      </w:r>
    </w:p>
    <w:p w:rsidR="00A77B3E">
      <w:r>
        <w:t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представила в налоговый орган расчет по страховым взносам за первый квартал дата с нарушением установленного срока – дата, чем нарушила вышеуказанные требования ..., то есть совершила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Представила ходатайство о рассмотрении дела в ее отсутствие, просила применить минимальную меру наказания.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дата... № 9...32403300038700002, составленным уполномоченным должностным лицом в соответствии с требованиями КоАП РФ (л.д. 1-2); копией решения № 2675 о привлечении к ответственности за совершение налогового правонарушения от дата (л.д. 9-11); сведениями фио, которыми подтверждается факт представления в налоговый орган расчета по страховым взносам за первый квартал дата – дата, то есть с нарушением установленного законом срока (л.д. 12); выпиской из ЕГРЮЛ (л.д. 14-15).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29....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...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