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5-24-146/2020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фио, паспортные данные, не работающего, женатого,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фио, дата в время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A77B3E">
      <w:r>
        <w:t>Учитывая, что в действиях фио 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адрес от дата N 63-У (ред. от дата) "О введении режима повышенной готовности на территории адрес"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 Федерации и Президиума Совета судей Российской Федерации от дата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РК № 028812/4, который составлен уполномоченным должностным лицом в соответствии с требованиями ст.28.2 КоАП РФ (л.д. 1); письменным объяснением фио (л.д. 2);  письменным объяснением свидетеля (л.д. 3); рапортом сотрудника ГИБДД (л.д. 4); фотографиями (л.д. 9,10).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протоколе об административном правонарушении,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5-24-146/2020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