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...164/...</w:t>
      </w:r>
    </w:p>
    <w:p w:rsidR="00A77B3E"/>
    <w:p w:rsidR="00A77B3E">
      <w:r>
        <w:t>ПОСТАНОВЛЕНИЕ</w:t>
      </w:r>
    </w:p>
    <w:p w:rsidR="00A77B3E"/>
    <w:p w:rsidR="00A77B3E">
      <w:r>
        <w:t>дата...                                                                    адрес</w:t>
      </w:r>
    </w:p>
    <w:p w:rsidR="00A77B3E"/>
    <w:p w:rsidR="00A77B3E">
      <w:r>
        <w:t>Мировой судья судебного участка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судебного района (городской адрес) адрес дело об административном правонарушении в отношении </w:t>
      </w:r>
    </w:p>
    <w:p w:rsidR="00A77B3E">
      <w:r>
        <w:t>фио, паспортные данные ...; гражданина Российской Федерации; ... работающего ... в наименование организации; зарегистрированного по адресу: адрес,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169 км + 300 м. адрес с Херсонской областью-...,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213992 от дата..., в котором указано место, время, состав правонарушения (л.д. 1); карточкой операции с ВУ (л.д. 4); компакт-диском с видеозаписью фиксации правонарушения (л.д. 2);  результатами поиска правонарушений (л.д. 5-6).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18810491241500001147.</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