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5-24-168/2021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 с участием –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работающего директором наименование организации, проживающего по адресу: адрес,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адрес, адрес), нарушил установленный законодательством о налогах и сборах срок представления расчета по страховым взносам за первый квартал дата в налоговый орган по месту учета, что является нарушением требований п.п. 4 п. 1 ст. 23 НК РФ.</w:t>
      </w:r>
    </w:p>
    <w:p w:rsidR="00A77B3E">
      <w:r>
        <w:t xml:space="preserve">          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первый квартал дата является дата. </w:t>
      </w:r>
    </w:p>
    <w:p w:rsidR="00A77B3E">
      <w:r>
        <w:t xml:space="preserve">фио представил в налоговый орган расчет по страховым взносам за первый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ab/>
        <w:t xml:space="preserve">фио в суде вину свою в совершении правонарушения признал полностью.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директором наименование организации (л.д. 14-17); сведениями фио, которыми подтверждается факт представления в налоговый орган расчета по страховым взносам в электронной форме за первый квартал дата – дата, то есть с нарушением установленного законом срока (л.д. 11)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