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</w:t>
      </w:r>
    </w:p>
    <w:p w:rsidR="00A77B3E">
      <w:r>
        <w:t xml:space="preserve">    Дело № 5-24-190/2021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адрес УССР, работающей уборщицей, разведенной, имеющей на иждивении двоих несовершеннолетних детей 2013 и паспортные данные, проживающей по адресу: адрес, адрес,</w:t>
      </w:r>
    </w:p>
    <w:p w:rsidR="00A77B3E">
      <w:r>
        <w:t>по ч. 1 ст. 7.27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магазине наименование организации, расположенном по адресу: адрес, адрес, совершила мелкое хищение чужого имущества, а именно похитила тушь «Maybelline Лэш Лифт» в количестве двух штук и тушь «Maybelline марка автомобиля» в количестве одной штуки на общую сумму сумма, чем совершила административное правонарушение, предусмотренное ч. 1 ст. 7.27 КоАП РФ.</w:t>
      </w:r>
    </w:p>
    <w:p w:rsidR="00A77B3E">
      <w:r>
        <w:t>В судебном заседании фио вину свою в содеянном признала.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дата, копия которого вручена фио Протокол составлен уполномоченным лицом, существенных недостатков, которые могли бы повлечь его недействительность, протокол не содержит (л.д. 2); рапортом сотрудника полиции о выявлении факта совершенного правонарушения (л.д. 7); заявлением в ОМВД России по адрес о совершенном правонарушении (л.д. 8); письменным объяснением фио, из которого усматривается признание ею вины (л.д. 3); фототаблицей (л.д. 12); справкой о стоимости похищенного имущества (л.д. 13). 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7.27 КоАП РФ, поскольку она совершил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>
      <w:r>
        <w:t>При назначении наказания учитывается характер совершенного правонарушения, личность фио, которая работает, разведена, имеет на иждивении двоих несовершеннолетних детей, ее имущественное и семейное положение, отсутствие обстоятельств, смягчающих и отягчающих ответственность за совершенное правонарушение.</w:t>
      </w:r>
    </w:p>
    <w:p w:rsidR="00A77B3E">
      <w:r>
        <w:t>Таким образом, с учетом конкретных обстоятельств дела, данных о личности правонарушителя, считаю возможным назначить виновному наказание в виде штрафа, в пределах санкции ч. 1 ст. 7.27 КоАП.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>Срок привлечения лица к административной ответственности не истёк.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7.27 КоАП РФ, и назначить ей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5-24-190/2021».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 судебного участка № 24 Алуштинского судебного района (городской адрес) адрес.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