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5-24-198/2020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        дата</w:t>
        <w:tab/>
        <w:tab/>
        <w:t xml:space="preserve">                                             </w:t>
        <w:tab/>
        <w:t>адрес</w:t>
      </w:r>
    </w:p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... фио, паспортные данные, занимающей должность председателя наименование организации (место нахождения: адрес), проживающей по адресу: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председателем наименование организации,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 тип «Исходная»)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Однако ...фио сведения по форме СЗВ-М тип «Исходная» за дата были предоставлены в орган пенсионного фонда с нарушением срока, а именно дата.</w:t>
      </w:r>
    </w:p>
    <w:p w:rsidR="00A77B3E">
      <w:r>
        <w:t xml:space="preserve">            фио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Ходатайства об отложении рассмотрении дела не поступало.</w:t>
      </w:r>
    </w:p>
    <w:p w:rsidR="00A77B3E">
      <w:r>
        <w:t>Учитывая, что в действиях ...фио усматриваются признаки состава вмененного ей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лиц; с учетом условий режима повышенной готовности, введенного Указом Главы адрес от дата N 63-У "О введении режима повышенной готовности на территории адрес" (вместе с "Перечнем непродовольственных товаров первой необходимости", "Перечнем заболеваний, требующих соблюдения режима самоизоляции"), учитывая также требования, содержащиеся в подпункте "с" пункта 3 статьи 14 Международного пакта о гражданских и политических правах, согласно которым уголовные, гражданские дела и дела об административных правонарушениях должны рассматриваться без неоправданной задержки, в строгом соответствии с правилами судопроизводства, важной составляющей которых являются сроки рассмотрения дел,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...фио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000038 от дата, составленным уполномоченным лицом в соответствии с требованиями КоАП РФ (л.д. 1); выпиской из Единого государственного реестра юридических лиц, согласно которой фио является председателем наименование организации (л.д. 2-3); уведомлением о доставке в УПФР адрес отчетности дата (л.д. 4).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...фио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...фио,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Айтееву фио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 № 40101810335100010001, ОКТМО телефон, КБК: телефон телефон, наименование платежа – штраф по делу об административном правонарушении № 5-24-198/2020.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