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5-24-214/2019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адрес</w:t>
      </w:r>
    </w:p>
    <w:p w:rsidR="00A77B3E"/>
    <w:p w:rsidR="00A77B3E">
      <w:r>
        <w:t>Мировой судья судебного участка ...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председателя ТСН «Прибрежный», проживающей по адресу: адрес, адрес, ап. 17,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ТСН «Прибрежный» (место нахождения: адрес,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СЗВ-СТАЖ),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 xml:space="preserve">            фио сведения по форме СЗВ-СТАЖ за дата не предоставила в установленный законом срок.  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председателя ТСН «Прибрежный»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000117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ТСН «Прибрежный» (л.д. 2-4); копией сведений по страхователю, передаваемые в ПФР для ведения индивидуального (персонифицированного) учета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