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5-24-227/2020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работающего торговым представителем наименование организации,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717-м километре адрес, управляя автомобилем марки марка автомобиля ...», государственный регистрационный знак ..., в нарушение п. 1.3 Правил дорожного движения РФ, совершая обгон транспортного средства,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 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737710 от дата, из которого следует, что фио дата в время на 717-м километре адрес, управляя автомобилем марки марка автомобиля ...», государственный регистрационный знак ..., в нарушение п. 1.3 Правил дорожного движения РФ, совершая обгон транспортного средства,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 что подтверждается его подписью в протоколе. Изменения в протокол внесены в присутствии фио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 государственный регистрационный знак ..., совершая обгон впереди движущегося транспортного средства, выезжает на полосу, предназначенную для встречного движения (л.д. 2);</w:t>
      </w:r>
    </w:p>
    <w:p w:rsidR="00A77B3E">
      <w:r>
        <w:t>- копией постановления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3);</w:t>
      </w:r>
    </w:p>
    <w:p w:rsidR="00A77B3E">
      <w:r>
        <w:t>- справкой ГИБДД от дата о том, что административный штраф по постановлению должностного лица от дата оплачен фио дата</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уплачен фио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ранее, в течение года, привлекался к административной ответственности в области дорожного движения (л.д. 9-11).</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