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5-24-244/2022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16а по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подал ходатайство о рассмотрении дела об административном правонарушении в его отсутствие, вину признает полностью.</w:t>
      </w:r>
    </w:p>
    <w:p w:rsidR="00A77B3E">
      <w:r>
        <w:t xml:space="preserve">При таких основаниях мировой судья приходит к выводу о возможности рассмотрения протокола об административном правонарушении в отсутствие фио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152644 от дата, из которого следует, что фио дата в время в районе дома № 16а по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029628 от дата об отстранении фио от управления транспортным средством ввиду наличия достаточных оснований полагать, что он находится в состоянии опьянения; копия протокола вручена фио (л.д. 2);</w:t>
      </w:r>
    </w:p>
    <w:p w:rsidR="00A77B3E">
      <w:r>
        <w:t>- протоколом серии 61 АК № 608558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копия протокола вручена фио (л.д. 3);</w:t>
      </w:r>
    </w:p>
    <w:p w:rsidR="00A77B3E">
      <w:r>
        <w:t xml:space="preserve">- видеозаписью мер обеспечения производства по делу об административном правонарушении (л.д. 7).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       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18810491221500000983.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