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5-24-253/2022</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УССР, гражданина Российской Федерации, работающего директором наименование организации (адрес), зарегистрированного и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А002 191 км, управляя автомобилем марки марка автомобиля, государственный регистрационный знак ......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Принадлежащим ему автомобилем дата управлял фио, который допустил выезд на полосу встречного движения, за что в последующем он (фио), как собственник транспортного средства,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115208 от дата (л.д. 1); видеозапись события административного правонарушения (л.д. 2);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3); сведения об оплате штрафа (л.д. 5); сведения об административных правонарушениях с участием транспортного средства, принадлежащего фио (л.д. 7-12).</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государственный регистрационный знак ... дата он не управлял, управляла фио и, соответственно, он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суд учитывает следующее.</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 xml:space="preserve">Как пояснил суду фио, дата принадлежим ему автомобилем управлял фио </w:t>
      </w:r>
    </w:p>
    <w:p w:rsidR="00A77B3E">
      <w:r>
        <w:t>Действовавшим по состоянию на указанную дату страховым полисом № ХХХ телефон управлять транспортным средством маркимарка автомобиля, государственный регистрационный знак ... имело право любое лицо, что подтверждается копией страхового полиса.</w:t>
      </w:r>
    </w:p>
    <w:p w:rsidR="00A77B3E">
      <w:r>
        <w:t xml:space="preserve">фио имеет водительское удостоверение серии КРА № 190363.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официально трудоустроен.</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18810491221500000932.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