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...-256/...</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водительское удостоверение телефон ... выдано дата; зарегистрированного и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адрес с адрес ...» 164 км.+ 300м.,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В судебное заседание фио не явился, о дате, времени и месте судебного заседания извещен надлежащим образом, что подтверждается распиской-извещением, имеющейся в материалах дела. До начала судебного заседания подал заявление, в котором просил рассмотреть дело об административном правонарушении в его отсутствие, с протоколом об административном правонарушении согласен.</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учитывая поступившее заявление фио, имеются предусмотренные законом основания для рассмотрения дела в его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243482 от дата..., в котором указано место, время, состав правонарушения (л.д. 1); компакт-диском с видеозаписью фиксации правонарушения (л.д. 2); карточкой операции с ВУ (л.д. 4); результатами поиска правонарушений (л.д. 5-7).</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18810491241500002364.</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