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...-262...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Отдела ПУ и АСВ № 8, в отношении должностного лица -</w:t>
      </w:r>
    </w:p>
    <w:p w:rsidR="00A77B3E">
      <w:r>
        <w:t xml:space="preserve">фио, паспортные данные, ИНН ..., работающего председателем правления ... (далее по тексту – ...), проживающего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председателем правления ...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страхования, установленных пп. 5 п. 2 ст. 11 Федерального закона от дата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Согласно пп. 5 п. 2 ст. 11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Так, в соответствии с п. 6 ст. 11 ФЗ от дата № 27-ФЗ «Об индивидуальном (персонифицированном) учете в системе обязательного пенсионного страхования»,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Страхователем дата представлен подраздел 1.1 формы ЕФС-1 в отношении застрахованного лица фио (договор ГПХ № 1) с кадровым мероприятием «Начало договора ГПХ» с датой заключения договора ГПХ с дата, предельный срок представления не позднее дата, и с кадровым мероприятием «Окончание договора ГПХ» с датой окончания договора дата, то есть дата фактического представления сведений превышает дату начала и окончания договора ГПХ более чем на один день.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Посредством электронной почты направил ходатайство о рассмотрении дела об административном правонарушении в его отсутствие.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учитывая поступившее ходатайство о рассмотрении дела в его отсутствие,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000065 от дата, составленным уполномоченным лицом в соответствии с требованиями КоАП РФ (л.д. 1); выпиской из Единого государственного реестра юридических лиц (л.д. 2-6); формой ЕФС-1 (л.д. 7); протоколом проверки отчетности (л.д. 8); сведениями из журнала (л.д. 17).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 xml:space="preserve">В соответствии с ч. 3 ст. 3.4 Кодекса РФ об административных правонарушениях,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 В соответствии с ч. 1 ст. 4.1.1 Кодекса РФ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>Вместе с тем, учитывая конкретные обстоятельства дела, оценив характер, степень общественной опасности и конкретные обстоятельства совершенного правонарушения, принимая во внимание отсутствие вредных последствий, совершенное правонарушение, предусмотренное ч. 1 ст. 15.33.2 КоАП РФ, не создало существенной угрозы охраняемым законом общественным отношениям, не повлекло существенного нарушения интересов граждан, общества и государства, суд считает возможным в соответствие со ст. ст. 3.4, 4.1.1 КоАП РФ заменить предусмотренное санкцией ст. 15.33.2 КоАП РФ административное наказание в виде административного штрафа на предупреждение.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3.4, 4.1.1, 29.10,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