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5-24-270/2020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..., паспортные данные, не работающего, женатого, пенсионера,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фио...,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... в судебное заседание не явился, о дне, времени и месте судебного разбирательства была уведомлен заблаговременно, надлежащим образом. Просил о рассмотрении дела в его отсутствие. 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фио...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фио... в совершении данного правонарушения подтверждается: протоколом об административном правонарушении серии РК № 248715/470, который составлен уполномоченным должностным лицом в соответствии с требованиями ст.28.2 КоАП РФ (л.д. 2); письменным объяснением фио... (л.д. 6);  письменным объяснением свидетеля фио (л.д. 7); рапортом сотрудника ГИБДД (л.д. 8).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фио...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фио...,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протоколе об административном правонарушении,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...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5-24-270/2020.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