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...277/...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</w:t>
        <w:tab/>
        <w:tab/>
        <w:t xml:space="preserve">        адрес</w:t>
      </w:r>
    </w:p>
    <w:p w:rsidR="00A77B3E">
      <w:r>
        <w:t xml:space="preserve">Мировой судья судебного участка ...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... фио, паспортные данные, адрес, гражданина России, паспортные данные, председателя Местной наименование организации...,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... ...., являясь ...бщественной организации рыболовов-любителей с. Рыбачье «... (место нахождения: адрес), нарушил установленный законодательством о налогах и сборах срок представления налоговой декларации по налогу на добавленную стоимость за четвертый квартал дата в налоговый орган по месту учета, что является нарушением требований ч. 5 ст. 174 НК РФ.</w:t>
      </w:r>
    </w:p>
    <w:p w:rsidR="00A77B3E">
      <w:r>
        <w:t>Так, в соответствии с ч. 5 ст. 174 НК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В соответствии с ч.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Следовательно, предельный срок представления налоговой декларации по налогу на добавленную стоимость за четвертый квартал дата является дата.... </w:t>
      </w:r>
    </w:p>
    <w:p w:rsidR="00A77B3E">
      <w:r>
        <w:t>... .... представил в налоговый орган налоговую декларацию по налогу на добавленную стоимость за четвертый квартал дата с нарушением установленного срока – дата..., чем нарушил вышеуказанные требования НК РФ, то есть совершил административное правонарушение, предусмотренное ст. 15.5 КоАП РФ.</w:t>
      </w:r>
    </w:p>
    <w:p w:rsidR="00A77B3E">
      <w:r>
        <w:t>В судебное заседание ... .... не явился, о дате, времени и месте судебного заседания извещен надлежащим образом, ходатайств об отложении судебного разбирательства не поступало.</w:t>
      </w:r>
    </w:p>
    <w:p w:rsidR="00A77B3E">
      <w:r>
        <w:t>Учитывая, что в действиях ... ....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... ....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дата..., составленным уполномоченным должностным лицом в соответствии с требованиями КоАП РФ (л.д. 1-3); копией акта налоговой проверки № 590 от дата... (л.д. 9-10); сведениями фио, которыми подтверждается факт представления в налоговый орган налоговую декларацию по налогу на добавленную стоимость за четвертый квартал дата в электронной форме – дата... (л.д. 11), то есть с нарушением установленного законом срока; выпиской из ЕГРЮЛ (л.д. 12-13).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... ....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... ....,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...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